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АНТИКОРРУПЦИОННАЯ ПОЛИТИКА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ГОСУДАРСТВЕННОГО БЮДЖЕТНОГО УЧРЕЖДЕНИЯ РЕСПУБЛИКИ КРЫМ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«КРАСНОГВАРДЕЙСКАЯ ЦЕНТРАЛЬНАЯ РАЙОННАЯ БОЛЬИЦА»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  <w:bookmarkStart w:id="0" w:name="_GoBack"/>
      <w:bookmarkEnd w:id="0"/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1. Понятие, цели и задачи антикоррупционной политики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Антикоррупционная политика (далее – Политика) ГБУЗ РК «Красногвардейская ЦРБ»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Антикоррупционная политика учреждения разработана в соответствии с Конституцией РФ, Федеральным законом от 25.12.2008г. №273-ФЗ «О противодействии коррупции».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Антикоррупционная политика отражает приверженность ГБУЗ РК «Красногвардейская ЦРБ»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Учреждение ставит перед собой следующие цели: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минимизировать риск вовлечения ГБУЗ РК «Красногвардейская ЦРБ», руководства Учреждения и работников независимо от занимаемой должности в коррупционную деятельность;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обобщить и разъяснить основные требования антикоррупционного законодательства РФ, которые могут применяться в учреждении.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Задачами антикоррупционной политики являются: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определение основных принципов противодействия коррупции в учреждении;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установить обязанность работников ГБУЗ РК «Красногвардейская ЦРБ» знать и соблюдать принципы и требования настоящей Антикоррупционной политики, ключевые нормы 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применимого антикоррупционного законодательства, а также мероприятия по предотвращению коррупции.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2. Понятия и определения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Коррупция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2008г. №273-ФЗ «О противодействии коррупции»).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Противодействие коррупции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№273-ФЗ «О противодействие коррупции»):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в) по минимизации и (или) ликвидации последствий коррупционных правонарушений.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Организация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Контрагент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Взятка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Коммерческий подкуп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Конфликт интересов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(представителем организации) которой он является.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Личная заинтересованность работника (представителя организации)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Коррупционное правонарушение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Коррупционный фактор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явление или совокупность явлений, порождающих коррупционные правонарушения или способствующие их распространению.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Предупреждение коррупции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– деятельность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3. Основные принципы антикоррупционной деятельности учреждения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Антикоррупционная политика учреждения основывается на следующих ключевых принципах: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 Принцип соответствия Антикоррупционной политики Учреждения действующему законодательству и общепринятым нормам.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Учреждению.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Принцип личного примера руководства.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3. Принцип вовлеченности работников.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Принцип соразмерности антикоррупционных процедур риску коррупции.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Принцип эффективности антикоррупционных процедур.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приносят значимый результат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6. Принцип ответственности и неотвратимости наказания.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7. Принцип открытости бизнеса.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8. Принцип постоянного контроля и регулярного мониторинга.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контроля за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их исполнением.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признание, обеспечение и защита основных прав и свобод человека и гражданина;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законность;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неотвратимость ответственности за совершение коррупционных правонарушений;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приоритетное применение мер по предупреждению коррупции;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4. Область применения политики и круг лиц, попадающих под ее действие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5. Должностные лица учреждения, ответственные за реализацию антикоррупционной политики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Главный врач ГБУЗ РК «Красногвардейская ЦРБ»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Задачи, функции, полномочия должностных лиц, ответственных за противодействие коррупции: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-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организация проведения оценки коррупционных рисков;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организация заполнения и рассмотрения деклараций о конфликте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при необходимости разрабатывать план антикоррупционных мероприятий в учреждении;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6. Закрепление обязанностей работников организации, связанных с предупреждением противодействием коррупции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Работники учреждения в связи с исполнением своих трудовых обязанностей должны: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незамедлительно информировать непосредственного начальника или лицо, ответственное за реализацию антикоррупционной политики или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возникшему у работника конфликте интересов.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lastRenderedPageBreak/>
        <w:t>7. Перечень антикоррупционных мероприятий стандартов и процедур и порядок их выполнения (применения)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tbl>
      <w:tblPr>
        <w:tblW w:w="8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7"/>
        <w:gridCol w:w="4403"/>
      </w:tblGrid>
      <w:tr w:rsidR="00886CC7" w:rsidRPr="00886CC7" w:rsidTr="00886CC7">
        <w:trPr>
          <w:trHeight w:val="150"/>
        </w:trPr>
        <w:tc>
          <w:tcPr>
            <w:tcW w:w="4155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150" w:lineRule="atLeast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170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150" w:lineRule="atLeast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886CC7" w:rsidRPr="00886CC7" w:rsidTr="00886CC7">
        <w:tc>
          <w:tcPr>
            <w:tcW w:w="4155" w:type="dxa"/>
            <w:vMerge w:val="restart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Нормативное обеспечение,</w:t>
            </w:r>
          </w:p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закрепление стандартов поведения</w:t>
            </w:r>
          </w:p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 декларация намерений</w:t>
            </w:r>
          </w:p>
        </w:tc>
        <w:tc>
          <w:tcPr>
            <w:tcW w:w="4170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Разработка и принятие кодекса этики и служебного поведения работников Учреждения</w:t>
            </w:r>
          </w:p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886CC7" w:rsidRPr="00886CC7" w:rsidTr="00886C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CC7" w:rsidRPr="00886CC7" w:rsidRDefault="00886CC7" w:rsidP="00886CC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86CC7" w:rsidRPr="00886CC7" w:rsidTr="00886C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CC7" w:rsidRPr="00886CC7" w:rsidRDefault="00886CC7" w:rsidP="00886CC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886CC7" w:rsidRPr="00886CC7" w:rsidTr="00886C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CC7" w:rsidRPr="00886CC7" w:rsidRDefault="00886CC7" w:rsidP="00886CC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shd w:val="clear" w:color="auto" w:fill="FFFFFF"/>
            <w:hideMark/>
          </w:tcPr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  <w:p w:rsidR="00886CC7" w:rsidRPr="00886CC7" w:rsidRDefault="00886CC7" w:rsidP="00886CC7">
            <w:pPr>
              <w:spacing w:after="27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886CC7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8. Разработка и принятие правил, регламентирующих вопросы обмена деловыми подарками и знаками делового гостеприимства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учреждении принят Регламент обмена деловыми подарками и знаками делового гостеприимства в ГБУЗ РК «Красногвардейская ЦРБ» (Приложение №1 к настоящей Антикоррупционной политике),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9. Выявление и урегулирование конфликта интересов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Понятие «конфликта интересов» определено в статье 75 Федерального закона от 21.11.11г. №323-ФЗ «Об основах охраны здоровья граждан».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соответствии с частью 1 статьи 75 Федерального закона от 21.11.11г. №323-ФЗ «Об основах охраны здоровья граждан» под 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лично,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Федеральный закон от 21.11.11г. №323-ФЗ обязывает медицинских работников информировать о возникновении конфликта интересов в письменной форме: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медицинские работники обязаны информировать главного врача учреждения, в котором он работает;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главный врач учреждения в семидневный срок со дня, когда ему стало известно о конфликте интересов, обязан в письменной форме уведомить об этом Министерство здравоохранения Республики Крым.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КоАП РФ предусмотрено наложение административных штрафов за непредставление информации о конфликте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Руководители медицинских учреждений предоставляют информацию о возникновении конфликта интересов в Комиссию Министерства здравоохранения Республики Крым по урегулированию конфликта интересов при осуществлении медицинской деятельности и фармацевтической деятельности.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целях регулирования конфликта интересов в деятельности работников учреждения (а значит и возможных негативных последствий конфликта интересов для учреждения) в учреждении принято Положение о конфликте интересов в 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 (Приложение №2 к настоящей Антикоррупционной политике).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Положение о конфликте интересов –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10. Основные принципы управления конфликтом интересов в учреждении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индивидуальное рассмотрение и оценка 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репутационных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11. Обязанности работников в связи с раскрытием и урегулированием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конфликта интересов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Обязанности работников в связи с раскрытием и урегулированием конфликта интересов: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избегать (по возможности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)с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итуаций и обстоятельств, которые могут привести к конфликту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раскрывать возникший (реальный) или потенциальный конфликт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содействовать урегулированию возникшего конфликта интересов.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12. Порядок раскрытия конфликта интересов работником учреждения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и порядок его урегулирования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Вид процедур раскрытия конфликта интересов: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раскрытие сведений о конфликте интересов при приеме на работу;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раскрытие сведений о конфликте интересов при назначении на новую должность;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разовое раскрытие сведений по мере возникновения ситуаций конфликта интересов;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раскрытие сведений о конфликте интересов в ходе проведения аттестации.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главным врачом учреждения.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Приложении №4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настоящей Антикоррупционной политики приведена типовая декларация конфликта интересов.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13. Принятие мер по предупреждению коррупции при взаимодействии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с организациями – контрагентами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антикоррупционной работе учреждения, осуществляемой при взаимодействии с организациями – контрагентами, есть два направления. Первое – установление и сохранение деловых (хозяйственных) отношений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Другое направление антикоррупционной работы при взаимодействии с организациями – контрагентами заключается в распространении среди организаций –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Определенные положения о соблюдении антикоррупционных стандартов могут включаться в договоры, заключаемые с организациями – контрагентами.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сведений на официальном сайте 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14. Оценка коррупционных рисков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Целью оценки коррупционных рисков является определение конкретных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экономических процессов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с целью получения выгоды учреждением.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подпроцессы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выделить «критические точки» - для каждого процесса и определить те элементы (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подпроцессы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- Для каждого 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подпроцесса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вероятные формы осуществления коррупционных платежей.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детальную регламентацию способа и сроков совершения действий работником в «критической точке»;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установление дополнительных форм отчетности работников о результатах принятых решений;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введение ограничений, затрудняющих осуществление коррупционных платежей и т.д.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15. Консультирование и обучение работников учреждения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При организации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обучения работников по вопросам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коррупция в государственном и частном секторах экономики (теоретическая);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юридическая ответственность за совершение коррупционных правонарушений;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прикладная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прикладная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прикладная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обучаемых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: лица, ответственные за противодействие коррупции в организации; руководящие работники; иные работники организации. В небольших организациях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зависимости от времени проведения можно выделить следующие виды обучения: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обучение по вопросам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16. Внутренний контроль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Федеральным законом от 06.12.2011г. №402-ФЗ «О бухгалтерском учете» установлена обязанность для всех организаций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осуществлять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составление бухгалтерской отчетности.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контроль документирования операций хозяйственной деятельности организации;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 (например, перечисленные выше в таблице),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Контроль документирования операций хозяйственной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деятельности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оплата услуг, характер которых не определен или вызывает сомнения;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аффилироанных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лиц и контрагентов;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рыночных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сомнительные платежи наличными.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17. Взаимодействие с работниками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учреждении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 (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ky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_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krasnogvard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_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tmo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@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mail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ru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ГБУЗ РК «Красногвардейская ЦРБ» заявляет о том, что ни один работник не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будет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 размещает настоящую политику в свободном доступе на официальном сайте в сети Интернет по адресу __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val="en-US" w:eastAsia="ru-RU"/>
        </w:rPr>
        <w:t>kgv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-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val="en-US" w:eastAsia="ru-RU"/>
        </w:rPr>
        <w:t>crb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.</w:t>
      </w:r>
      <w:proofErr w:type="spellStart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val="en-US" w:eastAsia="ru-RU"/>
        </w:rPr>
        <w:t>ru</w:t>
      </w:r>
      <w:proofErr w:type="spellEnd"/>
      <w:r w:rsidRPr="00886CC7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__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, открыто заявляет о непринятии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18. Сотрудничество с правоохранительными органами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в сфере противодействия коррупции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Сотрудничество 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c</w:t>
      </w: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правоохранительными органами является важным показателем действительной приверженности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организации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декларируемым антикоррупционным стандартам поведения.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Сотрудничество с правоохранительными органами осуществляется в форме: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Руководству организац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ии и ее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19. Ответственность за несоблюдение (ненадлежащее исполнение)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требований антикоррупционной политики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Все работники 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 должны соблюдать нормы Российского антикоррупционного законодательства, установленные, в том числе, Уголовным кодексом Российской Федерации. Кодексом Российской Федерации об административных правонарушениях.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Главный врач и работники всех подразделений ГБУЗ РК «Красногвардейская ЦРБ» независимо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Лица, виновные в нарушении требований настоящей Политики могут быть привлечены к дисциплинарной, административной, гражданско-правовой или уголовной ответственности по инициативе ГБУЗ РК «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Красногвардейская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ЦРБ»,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20. Порядок пересмотра и внесения изменений в </w:t>
      </w:r>
      <w:proofErr w:type="gramStart"/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антикоррупционную</w:t>
      </w:r>
      <w:proofErr w:type="gramEnd"/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политику Учреждения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ГБУЗ РК «Красногвардейская ЦРБ» осуществляет регулярный мониторинг хода и эффективности реализации антикоррупционной политики. Если по результатам мониторинга возникают сомнения в эффективности реализуемых антикоррупционных мероприятий необходимо внести в </w:t>
      </w:r>
      <w:proofErr w:type="gramStart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антикоррупционную</w:t>
      </w:r>
      <w:proofErr w:type="gramEnd"/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политик изменения и дополнения.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учреждения.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выявлении недостаточно эффективных положений настоящей Политики или связанных с ней антикоррупционных мероприятий ГБУЗ РК «Красногвардейская ЦРБ», либо при изменении требований применимого законодательства РФ, главный врач учреждения, а также ответственные лица, организуют выработку и реализацию плана действий по пересмотру и изменению настоящей Политики и /или антикоррупционных мероприятий.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886CC7" w:rsidRPr="00886CC7" w:rsidRDefault="00886CC7" w:rsidP="00886CC7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21. Заключительные положения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Утвержденная Антикоррупционная политика подлежит непосредственной реализации и применению в деятельности учреждения. Главный врач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Утвержденная антикоррупционная политика учреждения доводится до сведения всех работников учреждения. Организовывается ознакомление с политикой работников, принимаемых на работу в учреждение, под роспись. Обеспечивается возможность беспрепятственного доступа работников к тексту политики, путем размещения его на официальном сайте ГБУЗ РК «Красногвардейская ЦРБ», на информационных стендах на которых представлена вся необходимая информация, касающаяся противодействию коррупции.</w:t>
      </w:r>
    </w:p>
    <w:p w:rsidR="00886CC7" w:rsidRPr="00886CC7" w:rsidRDefault="00886CC7" w:rsidP="00886CC7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86CC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555B7A" w:rsidRDefault="00555B7A"/>
    <w:sectPr w:rsidR="005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F"/>
    <w:rsid w:val="00555B7A"/>
    <w:rsid w:val="005E01BF"/>
    <w:rsid w:val="008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5407</Words>
  <Characters>30825</Characters>
  <Application>Microsoft Office Word</Application>
  <DocSecurity>0</DocSecurity>
  <Lines>256</Lines>
  <Paragraphs>72</Paragraphs>
  <ScaleCrop>false</ScaleCrop>
  <Company/>
  <LinksUpToDate>false</LinksUpToDate>
  <CharactersWithSpaces>36160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JeFoX</dc:creator>
  <cp:keywords/>
  <dc:description/>
  <cp:lastModifiedBy>JeFoX</cp:lastModifiedBy>
  <cp:revision>2</cp:revision>
  <dcterms:created xsi:type="dcterms:W3CDTF">2020-08-10T07:40:00Z</dcterms:created>
  <dcterms:modified xsi:type="dcterms:W3CDTF">2020-08-10T07:40:00Z</dcterms:modified>
</cp:coreProperties>
</file>